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5CC" w:rsidRDefault="00C945CC"/>
    <w:p w:rsidR="00C945CC" w:rsidRDefault="00C945CC"/>
    <w:p w:rsidR="00C945CC" w:rsidRDefault="00C945CC"/>
    <w:p w:rsidR="00C945CC" w:rsidRDefault="00C945CC"/>
    <w:p w:rsidR="00C945CC" w:rsidRDefault="00C945CC"/>
    <w:p w:rsidR="00C945CC" w:rsidRPr="00740AEE" w:rsidRDefault="001A7DE1" w:rsidP="00D36CBF">
      <w:pPr>
        <w:jc w:val="center"/>
      </w:pPr>
      <w:r w:rsidRPr="00740AEE">
        <w:t>Auditing</w:t>
      </w:r>
      <w:r w:rsidRPr="00740AEE">
        <w:t xml:space="preserve"> </w:t>
      </w:r>
      <w:r w:rsidRPr="00740AEE">
        <w:t>Course Work Assignment</w:t>
      </w:r>
    </w:p>
    <w:p w:rsidR="00C945CC" w:rsidRDefault="001A7DE1">
      <w:pPr>
        <w:jc w:val="center"/>
      </w:pPr>
      <w:r>
        <w:t>Student’s Name</w:t>
      </w:r>
    </w:p>
    <w:p w:rsidR="00C945CC" w:rsidRDefault="001A7DE1">
      <w:pPr>
        <w:jc w:val="center"/>
      </w:pPr>
      <w:bookmarkStart w:id="0" w:name="_GoBack"/>
      <w:bookmarkEnd w:id="0"/>
      <w:r>
        <w:t>Institutional Affiliation</w:t>
      </w:r>
    </w:p>
    <w:p w:rsidR="00C945CC" w:rsidRDefault="00C945CC"/>
    <w:p w:rsidR="00C945CC" w:rsidRDefault="00C945CC"/>
    <w:p w:rsidR="00C945CC" w:rsidRDefault="00C945CC"/>
    <w:p w:rsidR="00D36CBF" w:rsidRDefault="00D36CBF"/>
    <w:p w:rsidR="00D36CBF" w:rsidRDefault="00D36CBF"/>
    <w:p w:rsidR="00D36CBF" w:rsidRDefault="00D36CBF"/>
    <w:p w:rsidR="00D36CBF" w:rsidRDefault="00D36CBF"/>
    <w:p w:rsidR="00D36CBF" w:rsidRDefault="00D36CBF"/>
    <w:p w:rsidR="00D36CBF" w:rsidRDefault="00D36CBF"/>
    <w:p w:rsidR="00D36CBF" w:rsidRDefault="00D36CBF"/>
    <w:p w:rsidR="00087ADB" w:rsidRPr="00087ADB" w:rsidRDefault="00087ADB" w:rsidP="00087ADB">
      <w:pPr>
        <w:rPr>
          <w:b/>
        </w:rPr>
      </w:pPr>
      <w:r w:rsidRPr="00087ADB">
        <w:rPr>
          <w:b/>
        </w:rPr>
        <w:lastRenderedPageBreak/>
        <w:t xml:space="preserve">Part One   </w:t>
      </w:r>
    </w:p>
    <w:p w:rsidR="00087ADB" w:rsidRDefault="00087ADB" w:rsidP="00087ADB">
      <w:r>
        <w:t xml:space="preserve"> The figure is about a comprehensive report provided by a group of public accountants after carrying out an auditing procedure on the consolidated financial statements of a company based in the kingdom </w:t>
      </w:r>
      <w:proofErr w:type="gramStart"/>
      <w:r>
        <w:t>of  Saudi</w:t>
      </w:r>
      <w:proofErr w:type="gramEnd"/>
      <w:r>
        <w:t xml:space="preserve"> Arabia. The name of the client in the figure provided is the Saudi Basic Industries Corporation (SABIC) and its subsidiaries (The "Group"); which is a joint stock company in the country of Saudi Arabia. The auditor, in this case, is the public auditing company known as the </w:t>
      </w:r>
      <w:proofErr w:type="spellStart"/>
      <w:r>
        <w:t>Emest</w:t>
      </w:r>
      <w:proofErr w:type="spellEnd"/>
      <w:r>
        <w:t xml:space="preserve"> &amp; Young &amp; Co. (Public Accountants). </w:t>
      </w:r>
    </w:p>
    <w:p w:rsidR="00087ADB" w:rsidRPr="00087ADB" w:rsidRDefault="00087ADB" w:rsidP="00087ADB">
      <w:pPr>
        <w:rPr>
          <w:b/>
        </w:rPr>
      </w:pPr>
      <w:r w:rsidRPr="00087ADB">
        <w:rPr>
          <w:b/>
        </w:rPr>
        <w:t>Part Two</w:t>
      </w:r>
    </w:p>
    <w:p w:rsidR="00087ADB" w:rsidRDefault="00087ADB" w:rsidP="00087ADB">
      <w:r>
        <w:t xml:space="preserve">The content of the figure has examined some requirements outlined in the standards required to report an audited financial statement; such as the planning and examination of reports. However, by the ASB / PCAOB standards, some things have not been examined. The unqualified opinion should have been the first part of the report followed by the basis for an opinion which ought to give reasons as to why the opinion was built up.  </w:t>
      </w:r>
    </w:p>
    <w:p w:rsidR="00087ADB" w:rsidRPr="00087ADB" w:rsidRDefault="00087ADB" w:rsidP="00087ADB">
      <w:pPr>
        <w:rPr>
          <w:b/>
        </w:rPr>
      </w:pPr>
      <w:r w:rsidRPr="00087ADB">
        <w:rPr>
          <w:b/>
        </w:rPr>
        <w:t>Part Three</w:t>
      </w:r>
    </w:p>
    <w:p w:rsidR="00087ADB" w:rsidRDefault="00087ADB" w:rsidP="00087ADB">
      <w:r>
        <w:t>A majority of the elements put across by the figure of Auditing is similar to that I have learned. However, there is a difference in the way the figure has expressed the report concerning the ASB standards. The difference is pointed out in the way the opinion has appeared at the end of the report instead of being at the forefront. Also, the report has not examined the going concern principle.  There's also a difference in the way the report was structured when compared to the ASB / PCAOB requirements.</w:t>
      </w:r>
    </w:p>
    <w:p w:rsidR="00087ADB" w:rsidRPr="00087ADB" w:rsidRDefault="00087ADB" w:rsidP="00087ADB">
      <w:pPr>
        <w:rPr>
          <w:b/>
        </w:rPr>
      </w:pPr>
      <w:r w:rsidRPr="00087ADB">
        <w:rPr>
          <w:b/>
        </w:rPr>
        <w:t xml:space="preserve">Part Four </w:t>
      </w:r>
    </w:p>
    <w:p w:rsidR="00087ADB" w:rsidRDefault="00087ADB" w:rsidP="00087ADB">
      <w:r>
        <w:lastRenderedPageBreak/>
        <w:t xml:space="preserve">My opinion on the going concern according to the report is that the report has neglected to mention the principle in question. The report does not explain the going concern of the business as required by the standards of financial auditing reports. </w:t>
      </w:r>
    </w:p>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087ADB" w:rsidRDefault="00087ADB" w:rsidP="00087ADB"/>
    <w:p w:rsidR="00C945CC" w:rsidRDefault="00C945CC"/>
    <w:p w:rsidR="00C945CC" w:rsidRDefault="00C945CC"/>
    <w:p w:rsidR="00C945CC" w:rsidRDefault="00C945CC"/>
    <w:p w:rsidR="00C945CC" w:rsidRDefault="00C945CC"/>
    <w:p w:rsidR="00D36CBF" w:rsidRDefault="00D36CBF"/>
    <w:p w:rsidR="00D36CBF" w:rsidRDefault="00D36CBF"/>
    <w:p w:rsidR="00D36CBF" w:rsidRDefault="00D36CBF"/>
    <w:p w:rsidR="00C945CC" w:rsidRDefault="00C945CC"/>
    <w:p w:rsidR="00C945CC" w:rsidRDefault="00C945CC">
      <w:pPr>
        <w:ind w:firstLine="720"/>
      </w:pPr>
    </w:p>
    <w:p w:rsidR="00C945CC" w:rsidRDefault="00C945CC">
      <w:pPr>
        <w:ind w:firstLine="720"/>
      </w:pPr>
    </w:p>
    <w:p w:rsidR="00C945CC" w:rsidRDefault="00C945CC">
      <w:pPr>
        <w:ind w:firstLine="720"/>
      </w:pPr>
    </w:p>
    <w:p w:rsidR="00C945CC" w:rsidRDefault="00C945CC"/>
    <w:p w:rsidR="00C945CC" w:rsidRDefault="00C945CC"/>
    <w:p w:rsidR="00C945CC" w:rsidRDefault="00C945CC"/>
    <w:sectPr w:rsidR="00C945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DE1" w:rsidRDefault="001A7DE1">
      <w:pPr>
        <w:spacing w:after="0" w:line="240" w:lineRule="auto"/>
      </w:pPr>
      <w:r>
        <w:separator/>
      </w:r>
    </w:p>
  </w:endnote>
  <w:endnote w:type="continuationSeparator" w:id="0">
    <w:p w:rsidR="001A7DE1" w:rsidRDefault="001A7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DE1" w:rsidRDefault="001A7DE1">
      <w:pPr>
        <w:spacing w:after="0" w:line="240" w:lineRule="auto"/>
      </w:pPr>
      <w:r>
        <w:separator/>
      </w:r>
    </w:p>
  </w:footnote>
  <w:footnote w:type="continuationSeparator" w:id="0">
    <w:p w:rsidR="001A7DE1" w:rsidRDefault="001A7D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5CC" w:rsidRDefault="001A7DE1">
    <w:pPr>
      <w:pStyle w:val="Header"/>
      <w:spacing w:line="480" w:lineRule="auto"/>
    </w:pPr>
    <w:r>
      <w:t>ECONOMIC POLICY</w:t>
    </w:r>
    <w:r>
      <w:tab/>
    </w:r>
    <w:r>
      <w:tab/>
      <w:t xml:space="preserve"> </w:t>
    </w:r>
    <w:r>
      <w:fldChar w:fldCharType="begin"/>
    </w:r>
    <w:r>
      <w:instrText xml:space="preserve">PAGE   \* MERGEFORMAT </w:instrText>
    </w:r>
    <w:r>
      <w:fldChar w:fldCharType="separate"/>
    </w:r>
    <w:r w:rsidR="00740AEE">
      <w:rPr>
        <w:noProof/>
      </w:rPr>
      <w:t>2</w:t>
    </w:r>
    <w:r>
      <w:rPr>
        <w:noProof/>
      </w:rPr>
      <w:fldChar w:fldCharType="end"/>
    </w:r>
  </w:p>
  <w:p w:rsidR="00C945CC" w:rsidRDefault="00C945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5CC" w:rsidRDefault="001A7DE1">
    <w:pPr>
      <w:pStyle w:val="Header"/>
      <w:spacing w:line="480" w:lineRule="auto"/>
    </w:pPr>
    <w:r>
      <w:t xml:space="preserve">Running head: </w:t>
    </w:r>
    <w:r>
      <w:t>AUDITING</w:t>
    </w:r>
    <w:r>
      <w:t xml:space="preserve"> </w:t>
    </w:r>
    <w:r>
      <w:t>ASSIGNMENT</w:t>
    </w:r>
    <w:r>
      <w:t xml:space="preserve">             </w:t>
    </w:r>
    <w:r>
      <w:t>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5CC"/>
    <w:rsid w:val="00087ADB"/>
    <w:rsid w:val="001A7DE1"/>
    <w:rsid w:val="00740AEE"/>
    <w:rsid w:val="00C945CC"/>
    <w:rsid w:val="00D36C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rFonts w:ascii="Times New Roman" w:hAnsi="Times New Roman" w:cs="Times New Roman"/>
      <w:sz w:val="24"/>
    </w:rPr>
  </w:style>
  <w:style w:type="paragraph" w:styleId="Heading1">
    <w:name w:val="heading 1"/>
    <w:basedOn w:val="Normal"/>
    <w:next w:val="Normal"/>
    <w:link w:val="Heading1Char"/>
    <w:uiPriority w:val="9"/>
    <w:qFormat/>
    <w:pPr>
      <w:keepNext/>
      <w:spacing w:before="240" w:after="60"/>
      <w:jc w:val="center"/>
      <w:outlineLvl w:val="0"/>
    </w:pPr>
    <w:rPr>
      <w:rFonts w:eastAsia="Times New Roman"/>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2"/>
      <w:sz w:val="24"/>
      <w:szCs w:val="32"/>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TOCHeading">
    <w:name w:val="TOC Heading"/>
    <w:basedOn w:val="Heading1"/>
    <w:next w:val="Normal"/>
    <w:uiPriority w:val="39"/>
    <w:qFormat/>
    <w:pPr>
      <w:keepLines/>
      <w:spacing w:after="0" w:line="259" w:lineRule="auto"/>
      <w:jc w:val="left"/>
      <w:outlineLvl w:val="9"/>
    </w:pPr>
    <w:rPr>
      <w:rFonts w:ascii="Calibri Light" w:eastAsia="SimSun" w:hAnsi="Calibri Light" w:cs="SimSun"/>
      <w:b w:val="0"/>
      <w:bCs w:val="0"/>
      <w:color w:val="2E74B5"/>
      <w:kern w:val="0"/>
      <w:sz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563C1"/>
      <w:u w:val="single"/>
    </w:rPr>
  </w:style>
  <w:style w:type="paragraph" w:styleId="Bibliography">
    <w:name w:val="Bibliography"/>
    <w:basedOn w:val="Normal"/>
    <w:next w:val="Normal"/>
    <w:uiPriority w:val="37"/>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rFonts w:ascii="Times New Roman" w:hAnsi="Times New Roman" w:cs="Times New Roman"/>
      <w:sz w:val="24"/>
    </w:rPr>
  </w:style>
  <w:style w:type="paragraph" w:styleId="Heading1">
    <w:name w:val="heading 1"/>
    <w:basedOn w:val="Normal"/>
    <w:next w:val="Normal"/>
    <w:link w:val="Heading1Char"/>
    <w:uiPriority w:val="9"/>
    <w:qFormat/>
    <w:pPr>
      <w:keepNext/>
      <w:spacing w:before="240" w:after="60"/>
      <w:jc w:val="center"/>
      <w:outlineLvl w:val="0"/>
    </w:pPr>
    <w:rPr>
      <w:rFonts w:eastAsia="Times New Roman"/>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2"/>
      <w:sz w:val="24"/>
      <w:szCs w:val="32"/>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Calibri" w:hAnsi="Times New Roman" w:cs="Times New Roman"/>
      <w:sz w:val="24"/>
    </w:rPr>
  </w:style>
  <w:style w:type="paragraph" w:styleId="TOCHeading">
    <w:name w:val="TOC Heading"/>
    <w:basedOn w:val="Heading1"/>
    <w:next w:val="Normal"/>
    <w:uiPriority w:val="39"/>
    <w:qFormat/>
    <w:pPr>
      <w:keepLines/>
      <w:spacing w:after="0" w:line="259" w:lineRule="auto"/>
      <w:jc w:val="left"/>
      <w:outlineLvl w:val="9"/>
    </w:pPr>
    <w:rPr>
      <w:rFonts w:ascii="Calibri Light" w:eastAsia="SimSun" w:hAnsi="Calibri Light" w:cs="SimSun"/>
      <w:b w:val="0"/>
      <w:bCs w:val="0"/>
      <w:color w:val="2E74B5"/>
      <w:kern w:val="0"/>
      <w:sz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563C1"/>
      <w:u w:val="single"/>
    </w:rPr>
  </w:style>
  <w:style w:type="paragraph" w:styleId="Bibliography">
    <w:name w:val="Bibliography"/>
    <w:basedOn w:val="Normal"/>
    <w:next w:val="Normal"/>
    <w:uiPriority w:val="37"/>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Que08</b:Tag>
    <b:SourceType>Book</b:SourceType>
    <b:Guid>{46BD769A-49F4-4CB0-9F05-0598CA96CF86}</b:Guid>
    <b:Author>
      <b:Author>
        <b:NameList>
          <b:Person>
            <b:Last>Queneau</b:Last>
          </b:Person>
          <b:Person>
            <b:Last>Sen</b:Last>
          </b:Person>
        </b:NameList>
      </b:Author>
    </b:Author>
    <b:Title>Evidence on the dynamics of unemployment by gender. Applied Economics, </b:Title>
    <b:Year>2008</b:Year>
    <b:Edition>40(16), 2099-2108. </b:Edition>
    <b:RefOrder>1</b:RefOrder>
  </b:Source>
  <b:Source>
    <b:Tag>Alc091</b:Tag>
    <b:SourceType>Book</b:SourceType>
    <b:Guid>{6B3E46F9-F8AE-4ECD-8EA2-1A61D5C32025}</b:Guid>
    <b:Author>
      <b:Author>
        <b:NameList>
          <b:Person>
            <b:Last>Alcock</b:Last>
          </b:Person>
          <b:Person>
            <b:Last>Craig</b:Last>
          </b:Person>
        </b:NameList>
      </b:Author>
    </b:Author>
    <b:Title>International Social Policy: Welfare Regimes in the Developed World </b:Title>
    <b:Year>2009</b:Year>
    <b:City>Palgrave</b:City>
    <b:Publisher>Macmillan.</b:Publisher>
    <b:Edition>2nd Edition</b:Edition>
    <b:RefOrder>8</b:RefOrder>
  </b:Source>
  <b:Source>
    <b:Tag>Bam10</b:Tag>
    <b:SourceType>Book</b:SourceType>
    <b:Guid>{24D52F18-252F-4D49-9CBB-FD64F1AD6A0A}</b:Guid>
    <b:Author>
      <b:Author>
        <b:NameList>
          <b:Person>
            <b:Last>Bambra</b:Last>
          </b:Person>
        </b:NameList>
      </b:Author>
    </b:Author>
    <b:Title>Yesterday once more? Unemployment and health in the 21st century. </b:Title>
    <b:Year>2010</b:Year>
    <b:Edition>Journal of Epidemiology &amp; Community Health, 64(3), 213-215.</b:Edition>
    <b:RefOrder>5</b:RefOrder>
  </b:Source>
  <b:Source>
    <b:Tag>Bon17</b:Tag>
    <b:SourceType>Book</b:SourceType>
    <b:Guid>{B0413025-C582-4D5F-AF7B-2BBA26D390D3}</b:Guid>
    <b:Author>
      <b:Author>
        <b:NameList>
          <b:Person>
            <b:Last>Bonoli</b:Last>
          </b:Person>
        </b:NameList>
      </b:Author>
    </b:Author>
    <b:Title>Labour market and social protection reforms in international perspective: parallel or converging tracks? Taylor &amp; Francis.</b:Title>
    <b:Year>2017</b:Year>
    <b:RefOrder>7</b:RefOrder>
  </b:Source>
  <b:Source>
    <b:Tag>Bur10</b:Tag>
    <b:SourceType>Book</b:SourceType>
    <b:Guid>{BCB5551A-4475-4B66-8AA6-FA793B3E7545}</b:Guid>
    <b:Author>
      <b:Author>
        <b:NameList>
          <b:Person>
            <b:Last>Burda</b:Last>
          </b:Person>
          <b:Person>
            <b:Last>Hamermesh</b:Last>
          </b:Person>
        </b:NameList>
      </b:Author>
    </b:Author>
    <b:Title>Unemployment, market work and household production. </b:Title>
    <b:Year>2010</b:Year>
    <b:Edition>Economics Letters, 107(2), 131-133. </b:Edition>
    <b:RefOrder>3</b:RefOrder>
  </b:Source>
  <b:Source>
    <b:Tag>Del08</b:Tag>
    <b:SourceType>Book</b:SourceType>
    <b:Guid>{A72159D5-E1C1-4C7A-A40D-A8F9B2DF31FD}</b:Guid>
    <b:Author>
      <b:Author>
        <b:NameList>
          <b:Person>
            <b:Last>Dell’Anno</b:Last>
          </b:Person>
          <b:Person>
            <b:Last>Solomon</b:Last>
          </b:Person>
        </b:NameList>
      </b:Author>
    </b:Author>
    <b:Title>Shadow economy and unemployment rate in USA: is there a structural relationship? An empirical analysis. Applied economics, 40(19), 2537-2555. </b:Title>
    <b:Year>2008</b:Year>
    <b:RefOrder>2</b:RefOrder>
  </b:Source>
  <b:Source>
    <b:Tag>Gre16</b:Tag>
    <b:SourceType>Book</b:SourceType>
    <b:Guid>{FE25CE6C-5ECE-474C-8C02-B8CAF4ECDE4F}</b:Guid>
    <b:Author>
      <b:Author>
        <b:NameList>
          <b:Person>
            <b:Last>Gregory</b:Last>
          </b:Person>
          <b:Person>
            <b:Last>Smith</b:Last>
          </b:Person>
        </b:NameList>
      </b:Author>
    </b:Author>
    <b:Title>15 Unemployment, Inflation and Job Creation Policies in Australia. Inflation and Unemployment: Theory, Experience and Policy Making, 325.</b:Title>
    <b:Year>2016</b:Year>
    <b:RefOrder>6</b:RefOrder>
  </b:Source>
  <b:Source>
    <b:Tag>Sti10</b:Tag>
    <b:SourceType>Book</b:SourceType>
    <b:Guid>{1976B2E0-E8F9-4002-A79F-C63101373653}</b:Guid>
    <b:Author>
      <b:Author>
        <b:NameList>
          <b:Person>
            <b:Last>Stiglitz</b:Last>
          </b:Person>
        </b:NameList>
      </b:Author>
    </b:Author>
    <b:Title>Freefall: America, free markets, and the sinking of the world economy. WW Norton &amp; Company.</b:Title>
    <b:Year>2010</b:Year>
    <b:RefOrder>9</b:RefOrder>
  </b:Source>
  <b:Source>
    <b:Tag>Thu08</b:Tag>
    <b:SourceType>Book</b:SourceType>
    <b:Guid>{687FB47C-0B48-4DC9-8F9E-7AAFAEA1199E}</b:Guid>
    <b:Author>
      <b:Author>
        <b:NameList>
          <b:Person>
            <b:Last>Thurik</b:Last>
          </b:Person>
          <b:Person>
            <b:Last>Carree</b:Last>
          </b:Person>
          <b:Person>
            <b:Last>Stel</b:Last>
            <b:First>Van</b:First>
          </b:Person>
          <b:Person>
            <b:Last>Audretsch</b:Last>
          </b:Person>
        </b:NameList>
      </b:Author>
    </b:Author>
    <b:Title>Does self-employment reduce unemployment?</b:Title>
    <b:Year>2008</b:Year>
    <b:Publisher>Journal of Business Venturing</b:Publisher>
    <b:Edition>23(6), 673-686.</b:Edition>
    <b:RefOrder>10</b:RefOrder>
  </b:Source>
  <b:Source>
    <b:Tag>Van12</b:Tag>
    <b:SourceType>Book</b:SourceType>
    <b:Guid>{4713C86E-1A75-4B0F-B5F4-A6255897D988}</b:Guid>
    <b:Author>
      <b:Author>
        <b:NameList>
          <b:Person>
            <b:Last>Vliet</b:Last>
            <b:First>Van</b:First>
          </b:Person>
          <b:Person>
            <b:Last>Caminada</b:Last>
          </b:Person>
        </b:NameList>
      </b:Author>
    </b:Author>
    <b:Title>Unemployment replacement rates dataset among 34 welfare states, 1971-2009: an update, extension and modification of the Scruggs' welfare state entitlements data set.</b:Title>
    <b:Year>2012</b:Year>
    <b:RefOrder>12</b:RefOrder>
  </b:Source>
  <b:Source>
    <b:Tag>Ver09</b:Tag>
    <b:SourceType>Book</b:SourceType>
    <b:Guid>{FB909BE0-2B57-418D-ADCA-812F944537FF}</b:Guid>
    <b:Author>
      <b:Author>
        <b:NameList>
          <b:Person>
            <b:Last>Verick</b:Last>
          </b:Person>
        </b:NameList>
      </b:Author>
    </b:Author>
    <b:Title>Who is hit hardest during a financial crisis? The vulnerability of young men and women to unemployment in an economic downturn.</b:Title>
    <b:Year>2009</b:Year>
    <b:RefOrder>11</b:RefOrder>
  </b:Source>
  <b:Source>
    <b:Tag>Haw08</b:Tag>
    <b:SourceType>Book</b:SourceType>
    <b:Guid>{24FE8D7B-B9CA-4D4C-BE5F-FF3FBE0177F1}</b:Guid>
    <b:Author>
      <b:Author>
        <b:NameList>
          <b:Person>
            <b:Last>Hawthorne</b:Last>
          </b:Person>
        </b:NameList>
      </b:Author>
    </b:Author>
    <b:Title>The impact of economic selection policy on labour market outcomes for degree-qualified migrants in Canada and Australia. IRPP</b:Title>
    <b:Year>2008</b:Year>
    <b:RefOrder>4</b:RefOrder>
  </b:Source>
</b:Sources>
</file>

<file path=customXml/itemProps1.xml><?xml version="1.0" encoding="utf-8"?>
<ds:datastoreItem xmlns:ds="http://schemas.openxmlformats.org/officeDocument/2006/customXml" ds:itemID="{97D75144-59D3-464F-9B4D-EDAABBCAD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Fentone</dc:creator>
  <cp:lastModifiedBy>vini</cp:lastModifiedBy>
  <cp:revision>2</cp:revision>
  <dcterms:created xsi:type="dcterms:W3CDTF">2018-04-18T17:29:00Z</dcterms:created>
  <dcterms:modified xsi:type="dcterms:W3CDTF">2018-04-18T17:29:00Z</dcterms:modified>
</cp:coreProperties>
</file>